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04"/>
      </w:pPr>
      <w:r>
        <w:rPr>
          <w:rFonts w:ascii="黑体" w:hAnsi="宋体" w:eastAsia="黑体" w:cs="黑体"/>
          <w:sz w:val="25"/>
          <w:szCs w:val="25"/>
        </w:rPr>
        <w:t>附件</w:t>
      </w:r>
      <w:r>
        <w:rPr>
          <w:rFonts w:hint="eastAsia" w:ascii="黑体" w:hAnsi="宋体" w:eastAsia="黑体" w:cs="黑体"/>
          <w:sz w:val="25"/>
          <w:szCs w:val="25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696"/>
        <w:jc w:val="center"/>
      </w:pPr>
      <w:r>
        <w:rPr>
          <w:rFonts w:ascii="方正小标宋_GBK" w:hAnsi="方正小标宋_GBK" w:eastAsia="方正小标宋_GBK" w:cs="方正小标宋_GBK"/>
          <w:sz w:val="34"/>
          <w:szCs w:val="34"/>
        </w:rPr>
        <w:t>××地（市）案件曝光信息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384"/>
        <w:jc w:val="right"/>
      </w:pPr>
      <w:r>
        <w:rPr>
          <w:rFonts w:ascii="仿宋" w:hAnsi="仿宋" w:eastAsia="仿宋" w:cs="仿宋"/>
          <w:sz w:val="19"/>
          <w:szCs w:val="19"/>
        </w:rPr>
        <w:t>联络人</w:t>
      </w:r>
      <w:r>
        <w:rPr>
          <w:rFonts w:hint="eastAsia" w:ascii="仿宋" w:hAnsi="仿宋" w:eastAsia="仿宋" w:cs="仿宋"/>
          <w:sz w:val="19"/>
          <w:szCs w:val="19"/>
          <w:u w:val="single"/>
        </w:rPr>
        <w:t>            </w:t>
      </w:r>
      <w:r>
        <w:rPr>
          <w:rFonts w:hint="eastAsia" w:ascii="仿宋" w:hAnsi="仿宋" w:eastAsia="仿宋" w:cs="仿宋"/>
          <w:sz w:val="19"/>
          <w:szCs w:val="19"/>
        </w:rPr>
        <w:t>联系电话</w:t>
      </w:r>
      <w:r>
        <w:rPr>
          <w:rFonts w:hint="eastAsia" w:ascii="仿宋" w:hAnsi="仿宋" w:eastAsia="仿宋" w:cs="仿宋"/>
          <w:sz w:val="19"/>
          <w:szCs w:val="19"/>
          <w:u w:val="single"/>
        </w:rPr>
        <w:t>            </w:t>
      </w:r>
      <w:r>
        <w:rPr>
          <w:rFonts w:hint="eastAsia" w:ascii="仿宋" w:hAnsi="仿宋" w:eastAsia="仿宋" w:cs="仿宋"/>
          <w:sz w:val="19"/>
          <w:szCs w:val="19"/>
        </w:rPr>
        <w:t>（手机号码）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626"/>
        <w:gridCol w:w="1391"/>
        <w:gridCol w:w="942"/>
        <w:gridCol w:w="942"/>
        <w:gridCol w:w="942"/>
        <w:gridCol w:w="1461"/>
        <w:gridCol w:w="1527"/>
        <w:gridCol w:w="64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64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标题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曝光媒体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曝光时间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供稿单位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有效链接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原稿信息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（可作附件）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324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88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88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88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88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88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6"/>
                <w:szCs w:val="16"/>
                <w:bdr w:val="none" w:color="auto" w:sz="0" w:space="0"/>
              </w:rPr>
              <w:t>…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注：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1.曝光媒体包括××政府网站、××医保部门官网、微信公众号、电台、电视台、报纸、其它媒体（请在备注中写明是什么媒体）。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2.曝光时间详细填写××年××月××日××时××分。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3.供稿单位即案件曝光的主体，为地（市）、县（区）医保部门。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4.曝光案件媒体有网页链接的，直接提供网页链接；如电台、报纸等媒体无法提供链接的，将曝光案件电台音频文件、报纸所在整体版面的图片等附原稿上报，并在备注中说明。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5.曝光案件原稿以附件形式报送，原稿信息可以是加盖公章书面文件的扫描件及原始文档，也可以是以影音形式曝光案件的视频、音频、图片资料（请在备注中写明附件原稿的附件序号及文件名称）。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6.曝光案件信息的报送应注重时效，不得晚于案件曝光24小时。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7.曝光案件信息由地（市）级医保部门负责收集、报送。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8.曝光案件报送以电子邮件为首选方式，附件较多时可拆分多封邮件；如单个附件超过邮箱限制，以U盘、光盘等有形介质通过快递方式寄送。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36"/>
      </w:pPr>
      <w:r>
        <w:rPr>
          <w:rFonts w:hint="eastAsia" w:ascii="仿宋" w:hAnsi="仿宋" w:eastAsia="仿宋" w:cs="仿宋"/>
          <w:sz w:val="16"/>
          <w:szCs w:val="16"/>
        </w:rPr>
        <w:t>9.曝光案件报送至 xzybjjjdc@163.com邮箱。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38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2022-01-18T01:57:59Z</dcterms:created>
  <dc:creator>123456</dc:creator>
  <cp:lastModifiedBy>123456</cp:lastModifiedBy>
  <dcterms:modified xsi:type="dcterms:W3CDTF">2022-01-18T01:58:07Z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