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24" w:lineRule="atLeast"/>
        <w:ind w:left="0" w:firstLine="504"/>
        <w:rPr>
          <w:rFonts w:ascii="sans-serif" w:hAnsi="sans-serif" w:eastAsia="sans-serif" w:cs="sans-serif"/>
          <w:i w:val="0"/>
          <w:caps w:val="0"/>
          <w:color w:val="000000"/>
          <w:spacing w:val="0"/>
          <w:sz w:val="27"/>
          <w:szCs w:val="27"/>
        </w:rPr>
      </w:pPr>
      <w:r>
        <w:rPr>
          <w:rFonts w:ascii="黑体" w:hAnsi="宋体" w:eastAsia="黑体" w:cs="黑体"/>
          <w:i w:val="0"/>
          <w:caps w:val="0"/>
          <w:color w:val="000000"/>
          <w:spacing w:val="0"/>
          <w:sz w:val="25"/>
          <w:szCs w:val="25"/>
        </w:rPr>
        <w:t>附件</w:t>
      </w:r>
      <w:r>
        <w:rPr>
          <w:rFonts w:hint="eastAsia" w:ascii="黑体" w:hAnsi="宋体" w:eastAsia="黑体" w:cs="黑体"/>
          <w:i w:val="0"/>
          <w:caps w:val="0"/>
          <w:color w:val="000000"/>
          <w:spacing w:val="0"/>
          <w:sz w:val="25"/>
          <w:szCs w:val="25"/>
        </w:rPr>
        <w:t>1</w:t>
      </w:r>
    </w:p>
    <w:p>
      <w:pPr>
        <w:pStyle w:val="2"/>
        <w:keepNext w:val="0"/>
        <w:keepLines w:val="0"/>
        <w:widowControl/>
        <w:suppressLineNumbers w:val="0"/>
        <w:spacing w:line="444" w:lineRule="atLeast"/>
        <w:ind w:left="0" w:firstLine="696"/>
        <w:jc w:val="center"/>
        <w:rPr>
          <w:rFonts w:hint="default" w:ascii="sans-serif" w:hAnsi="sans-serif" w:eastAsia="sans-serif" w:cs="sans-serif"/>
          <w:i w:val="0"/>
          <w:caps w:val="0"/>
          <w:color w:val="000000"/>
          <w:spacing w:val="0"/>
          <w:sz w:val="27"/>
          <w:szCs w:val="27"/>
        </w:rPr>
      </w:pPr>
      <w:bookmarkStart w:id="0" w:name="_GoBack"/>
      <w:r>
        <w:rPr>
          <w:rFonts w:ascii="方正小标宋简体" w:hAnsi="方正小标宋简体" w:eastAsia="方正小标宋简体" w:cs="方正小标宋简体"/>
          <w:i w:val="0"/>
          <w:caps w:val="0"/>
          <w:color w:val="000000"/>
          <w:spacing w:val="0"/>
          <w:sz w:val="34"/>
          <w:szCs w:val="34"/>
        </w:rPr>
        <w:t>曝光案件格式与示例</w:t>
      </w:r>
      <w:bookmarkEnd w:id="0"/>
    </w:p>
    <w:p>
      <w:pPr>
        <w:pStyle w:val="2"/>
        <w:keepNext w:val="0"/>
        <w:keepLines w:val="0"/>
        <w:widowControl/>
        <w:suppressLineNumbers w:val="0"/>
        <w:spacing w:line="444" w:lineRule="atLeast"/>
        <w:ind w:left="0" w:firstLine="696"/>
        <w:jc w:val="center"/>
        <w:rPr>
          <w:rFonts w:hint="default" w:ascii="sans-serif" w:hAnsi="sans-serif" w:eastAsia="sans-serif" w:cs="sans-serif"/>
          <w:i w:val="0"/>
          <w:caps w:val="0"/>
          <w:color w:val="000000"/>
          <w:spacing w:val="0"/>
          <w:sz w:val="27"/>
          <w:szCs w:val="27"/>
        </w:rPr>
      </w:pPr>
      <w:r>
        <w:rPr>
          <w:rFonts w:hint="default" w:ascii="方正小标宋简体" w:hAnsi="方正小标宋简体" w:eastAsia="方正小标宋简体" w:cs="方正小标宋简体"/>
          <w:i w:val="0"/>
          <w:caps w:val="0"/>
          <w:color w:val="000000"/>
          <w:spacing w:val="0"/>
          <w:sz w:val="34"/>
          <w:szCs w:val="34"/>
        </w:rPr>
        <w:t> </w:t>
      </w:r>
    </w:p>
    <w:p>
      <w:pPr>
        <w:pStyle w:val="2"/>
        <w:keepNext w:val="0"/>
        <w:keepLines w:val="0"/>
        <w:widowControl/>
        <w:suppressLineNumbers w:val="0"/>
        <w:spacing w:line="444" w:lineRule="atLeast"/>
        <w:ind w:left="0" w:firstLine="576"/>
        <w:jc w:val="center"/>
        <w:rPr>
          <w:rFonts w:hint="default" w:ascii="sans-serif" w:hAnsi="sans-serif" w:eastAsia="sans-serif" w:cs="sans-serif"/>
          <w:i w:val="0"/>
          <w:caps w:val="0"/>
          <w:color w:val="000000"/>
          <w:spacing w:val="0"/>
          <w:sz w:val="27"/>
          <w:szCs w:val="27"/>
        </w:rPr>
      </w:pPr>
      <w:r>
        <w:rPr>
          <w:rFonts w:ascii="方正小标宋_GBK" w:hAnsi="方正小标宋_GBK" w:eastAsia="方正小标宋_GBK" w:cs="方正小标宋_GBK"/>
          <w:i w:val="0"/>
          <w:caps w:val="0"/>
          <w:color w:val="000000"/>
          <w:spacing w:val="0"/>
          <w:sz w:val="28"/>
          <w:szCs w:val="28"/>
        </w:rPr>
        <w:t>***市/（地区）***（单位或个人）骗取医保基金案</w:t>
      </w:r>
    </w:p>
    <w:p>
      <w:pPr>
        <w:pStyle w:val="2"/>
        <w:keepNext w:val="0"/>
        <w:keepLines w:val="0"/>
        <w:widowControl/>
        <w:suppressLineNumbers w:val="0"/>
        <w:spacing w:line="444" w:lineRule="atLeast"/>
        <w:ind w:left="0" w:firstLine="480"/>
        <w:rPr>
          <w:rFonts w:hint="default" w:ascii="sans-serif" w:hAnsi="sans-serif" w:eastAsia="sans-serif" w:cs="sans-serif"/>
          <w:i w:val="0"/>
          <w:caps w:val="0"/>
          <w:color w:val="000000"/>
          <w:spacing w:val="0"/>
          <w:sz w:val="27"/>
          <w:szCs w:val="27"/>
        </w:rPr>
      </w:pPr>
      <w:r>
        <w:rPr>
          <w:rFonts w:ascii="楷体" w:hAnsi="楷体" w:eastAsia="楷体" w:cs="楷体"/>
          <w:i w:val="0"/>
          <w:caps w:val="0"/>
          <w:color w:val="000000"/>
          <w:spacing w:val="0"/>
          <w:sz w:val="24"/>
          <w:szCs w:val="24"/>
        </w:rPr>
        <w:t>（一）涉案基本情况。</w:t>
      </w:r>
      <w:r>
        <w:rPr>
          <w:rFonts w:ascii="仿宋_GB2312" w:hAnsi="sans-serif" w:eastAsia="仿宋_GB2312" w:cs="仿宋_GB2312"/>
          <w:i w:val="0"/>
          <w:caps w:val="0"/>
          <w:color w:val="000000"/>
          <w:spacing w:val="0"/>
          <w:sz w:val="24"/>
          <w:szCs w:val="24"/>
        </w:rPr>
        <w:t>单位基本情况包括定点医药机构全称、机构性质、机构类别、登记注册类型、主办单位、经营性质、床位数、年出入院人次等。个人基本情况包括姓名、性别、年龄、单位、参保人员参保类型等。</w:t>
      </w:r>
    </w:p>
    <w:p>
      <w:pPr>
        <w:pStyle w:val="2"/>
        <w:keepNext w:val="0"/>
        <w:keepLines w:val="0"/>
        <w:widowControl/>
        <w:suppressLineNumbers w:val="0"/>
        <w:spacing w:line="444" w:lineRule="atLeast"/>
        <w:ind w:left="0" w:firstLine="480"/>
        <w:rPr>
          <w:rFonts w:hint="default" w:ascii="sans-serif" w:hAnsi="sans-serif" w:eastAsia="sans-serif" w:cs="sans-serif"/>
          <w:i w:val="0"/>
          <w:caps w:val="0"/>
          <w:color w:val="000000"/>
          <w:spacing w:val="0"/>
          <w:sz w:val="27"/>
          <w:szCs w:val="27"/>
        </w:rPr>
      </w:pPr>
      <w:r>
        <w:rPr>
          <w:rFonts w:hint="eastAsia" w:ascii="楷体" w:hAnsi="楷体" w:eastAsia="楷体" w:cs="楷体"/>
          <w:i w:val="0"/>
          <w:caps w:val="0"/>
          <w:color w:val="000000"/>
          <w:spacing w:val="0"/>
          <w:sz w:val="24"/>
          <w:szCs w:val="24"/>
        </w:rPr>
        <w:t>（二）案件查办的主要过程。</w:t>
      </w:r>
      <w:r>
        <w:rPr>
          <w:rFonts w:hint="default" w:ascii="仿宋_GB2312" w:hAnsi="sans-serif" w:eastAsia="仿宋_GB2312" w:cs="仿宋_GB2312"/>
          <w:i w:val="0"/>
          <w:caps w:val="0"/>
          <w:color w:val="000000"/>
          <w:spacing w:val="0"/>
          <w:sz w:val="24"/>
          <w:szCs w:val="24"/>
        </w:rPr>
        <w:t>包括案件线索来源、查办主体、方式方法、程序过程等。</w:t>
      </w:r>
    </w:p>
    <w:p>
      <w:pPr>
        <w:pStyle w:val="2"/>
        <w:keepNext w:val="0"/>
        <w:keepLines w:val="0"/>
        <w:widowControl/>
        <w:suppressLineNumbers w:val="0"/>
        <w:spacing w:line="444" w:lineRule="atLeast"/>
        <w:ind w:left="0" w:firstLine="480"/>
        <w:rPr>
          <w:rFonts w:hint="default" w:ascii="sans-serif" w:hAnsi="sans-serif" w:eastAsia="sans-serif" w:cs="sans-serif"/>
          <w:i w:val="0"/>
          <w:caps w:val="0"/>
          <w:color w:val="000000"/>
          <w:spacing w:val="0"/>
          <w:sz w:val="27"/>
          <w:szCs w:val="27"/>
        </w:rPr>
      </w:pPr>
      <w:r>
        <w:rPr>
          <w:rFonts w:hint="eastAsia" w:ascii="楷体" w:hAnsi="楷体" w:eastAsia="楷体" w:cs="楷体"/>
          <w:i w:val="0"/>
          <w:caps w:val="0"/>
          <w:color w:val="000000"/>
          <w:spacing w:val="0"/>
          <w:sz w:val="24"/>
          <w:szCs w:val="24"/>
        </w:rPr>
        <w:t>（三）违法违规事实与涉嫌金额。</w:t>
      </w:r>
      <w:r>
        <w:rPr>
          <w:rFonts w:hint="default" w:ascii="仿宋_GB2312" w:hAnsi="sans-serif" w:eastAsia="仿宋_GB2312" w:cs="仿宋_GB2312"/>
          <w:i w:val="0"/>
          <w:caps w:val="0"/>
          <w:color w:val="000000"/>
          <w:spacing w:val="0"/>
          <w:sz w:val="24"/>
          <w:szCs w:val="24"/>
        </w:rPr>
        <w:t>违法违规事实清楚、时间节点明确。涉嫌或查实金额定性定量准确，数额清晰，表述前后一致、单位统一。</w:t>
      </w:r>
    </w:p>
    <w:p>
      <w:pPr>
        <w:pStyle w:val="2"/>
        <w:keepNext w:val="0"/>
        <w:keepLines w:val="0"/>
        <w:widowControl/>
        <w:suppressLineNumbers w:val="0"/>
        <w:spacing w:line="444" w:lineRule="atLeast"/>
        <w:ind w:left="0" w:firstLine="480"/>
        <w:rPr>
          <w:rFonts w:hint="default" w:ascii="sans-serif" w:hAnsi="sans-serif" w:eastAsia="sans-serif" w:cs="sans-serif"/>
          <w:i w:val="0"/>
          <w:caps w:val="0"/>
          <w:color w:val="000000"/>
          <w:spacing w:val="0"/>
          <w:sz w:val="27"/>
          <w:szCs w:val="27"/>
        </w:rPr>
      </w:pPr>
      <w:r>
        <w:rPr>
          <w:rFonts w:hint="eastAsia" w:ascii="楷体" w:hAnsi="楷体" w:eastAsia="楷体" w:cs="楷体"/>
          <w:i w:val="0"/>
          <w:caps w:val="0"/>
          <w:color w:val="000000"/>
          <w:spacing w:val="0"/>
          <w:sz w:val="24"/>
          <w:szCs w:val="24"/>
        </w:rPr>
        <w:t>（四）部门协作与移送情况。</w:t>
      </w:r>
      <w:r>
        <w:rPr>
          <w:rFonts w:hint="default" w:ascii="仿宋_GB2312" w:hAnsi="sans-serif" w:eastAsia="仿宋_GB2312" w:cs="仿宋_GB2312"/>
          <w:i w:val="0"/>
          <w:caps w:val="0"/>
          <w:color w:val="000000"/>
          <w:spacing w:val="0"/>
          <w:sz w:val="24"/>
          <w:szCs w:val="24"/>
        </w:rPr>
        <w:t>是否有公安、卫生健康、药品监管、市场监管和纪检监察等部门参与，向有关部门移送案件的时间及后续处理情况等。</w:t>
      </w:r>
    </w:p>
    <w:p>
      <w:pPr>
        <w:pStyle w:val="2"/>
        <w:keepNext w:val="0"/>
        <w:keepLines w:val="0"/>
        <w:widowControl/>
        <w:suppressLineNumbers w:val="0"/>
        <w:spacing w:line="444" w:lineRule="atLeast"/>
        <w:ind w:left="0" w:firstLine="480"/>
        <w:rPr>
          <w:rFonts w:hint="default" w:ascii="sans-serif" w:hAnsi="sans-serif" w:eastAsia="sans-serif" w:cs="sans-serif"/>
          <w:i w:val="0"/>
          <w:caps w:val="0"/>
          <w:color w:val="000000"/>
          <w:spacing w:val="0"/>
          <w:sz w:val="27"/>
          <w:szCs w:val="27"/>
        </w:rPr>
      </w:pPr>
      <w:r>
        <w:rPr>
          <w:rFonts w:hint="eastAsia" w:ascii="楷体" w:hAnsi="楷体" w:eastAsia="楷体" w:cs="楷体"/>
          <w:i w:val="0"/>
          <w:caps w:val="0"/>
          <w:color w:val="000000"/>
          <w:spacing w:val="0"/>
          <w:sz w:val="24"/>
          <w:szCs w:val="24"/>
        </w:rPr>
        <w:t>（五）作出处理的部门、处理依据与处理结果。</w:t>
      </w:r>
      <w:r>
        <w:rPr>
          <w:rFonts w:hint="default" w:ascii="仿宋_GB2312" w:hAnsi="sans-serif" w:eastAsia="仿宋_GB2312" w:cs="仿宋_GB2312"/>
          <w:i w:val="0"/>
          <w:caps w:val="0"/>
          <w:color w:val="000000"/>
          <w:spacing w:val="0"/>
          <w:sz w:val="24"/>
          <w:szCs w:val="24"/>
        </w:rPr>
        <w:t>司法机关、行政部门、经办机构等主体明确。法律法规、地方性法规、政府规章、协议范本等应详细到具体条款，如《中华人民共和国社会保险法》第＊章第＊条、《定点医疗机构服务协议》第＊章第＊条等。处理部门对被处理单位（个人）的处理结果应全面，包括不同主体分别处理的结果。</w:t>
      </w:r>
    </w:p>
    <w:p>
      <w:pPr>
        <w:pStyle w:val="2"/>
        <w:keepNext w:val="0"/>
        <w:keepLines w:val="0"/>
        <w:widowControl/>
        <w:suppressLineNumbers w:val="0"/>
        <w:spacing w:line="444" w:lineRule="atLeast"/>
        <w:ind w:left="0" w:firstLine="480"/>
        <w:rPr>
          <w:rFonts w:hint="default" w:ascii="sans-serif" w:hAnsi="sans-serif" w:eastAsia="sans-serif" w:cs="sans-serif"/>
          <w:i w:val="0"/>
          <w:caps w:val="0"/>
          <w:color w:val="000000"/>
          <w:spacing w:val="0"/>
          <w:sz w:val="27"/>
          <w:szCs w:val="27"/>
        </w:rPr>
      </w:pPr>
      <w:r>
        <w:rPr>
          <w:rFonts w:hint="eastAsia" w:ascii="楷体" w:hAnsi="楷体" w:eastAsia="楷体" w:cs="楷体"/>
          <w:i w:val="0"/>
          <w:caps w:val="0"/>
          <w:color w:val="000000"/>
          <w:spacing w:val="0"/>
          <w:sz w:val="24"/>
          <w:szCs w:val="24"/>
        </w:rPr>
        <w:t>（六）被处理单位（个人）意见。</w:t>
      </w:r>
      <w:r>
        <w:rPr>
          <w:rFonts w:hint="default" w:ascii="仿宋_GB2312" w:hAnsi="sans-serif" w:eastAsia="仿宋_GB2312" w:cs="仿宋_GB2312"/>
          <w:i w:val="0"/>
          <w:caps w:val="0"/>
          <w:color w:val="000000"/>
          <w:spacing w:val="0"/>
          <w:sz w:val="24"/>
          <w:szCs w:val="24"/>
        </w:rPr>
        <w:t>被处理单位（个人）是否认同处理结果，是否申请陈述、申辩、听证或诉讼等。</w:t>
      </w:r>
    </w:p>
    <w:p>
      <w:pPr>
        <w:pStyle w:val="2"/>
        <w:keepNext w:val="0"/>
        <w:keepLines w:val="0"/>
        <w:widowControl/>
        <w:suppressLineNumbers w:val="0"/>
        <w:spacing w:line="444" w:lineRule="atLeast"/>
        <w:ind w:left="0" w:firstLine="480"/>
        <w:rPr>
          <w:rFonts w:hint="default" w:ascii="sans-serif" w:hAnsi="sans-serif" w:eastAsia="sans-serif" w:cs="sans-serif"/>
          <w:i w:val="0"/>
          <w:caps w:val="0"/>
          <w:color w:val="000000"/>
          <w:spacing w:val="0"/>
          <w:sz w:val="27"/>
          <w:szCs w:val="27"/>
        </w:rPr>
      </w:pPr>
      <w:r>
        <w:rPr>
          <w:rFonts w:ascii="楷体_GB2312" w:hAnsi="sans-serif" w:eastAsia="楷体_GB2312" w:cs="楷体_GB2312"/>
          <w:i w:val="0"/>
          <w:caps w:val="0"/>
          <w:color w:val="000000"/>
          <w:spacing w:val="0"/>
          <w:sz w:val="24"/>
          <w:szCs w:val="24"/>
        </w:rPr>
        <w:t> </w:t>
      </w:r>
    </w:p>
    <w:p>
      <w:pPr>
        <w:pStyle w:val="2"/>
        <w:keepNext w:val="0"/>
        <w:keepLines w:val="0"/>
        <w:widowControl/>
        <w:suppressLineNumbers w:val="0"/>
        <w:spacing w:line="444" w:lineRule="atLeast"/>
        <w:ind w:left="0" w:firstLine="480"/>
        <w:rPr>
          <w:rFonts w:hint="default" w:ascii="sans-serif" w:hAnsi="sans-serif" w:eastAsia="sans-serif" w:cs="sans-serif"/>
          <w:i w:val="0"/>
          <w:caps w:val="0"/>
          <w:color w:val="000000"/>
          <w:spacing w:val="0"/>
          <w:sz w:val="27"/>
          <w:szCs w:val="27"/>
        </w:rPr>
      </w:pPr>
      <w:r>
        <w:rPr>
          <w:rFonts w:hint="default" w:ascii="楷体_GB2312" w:hAnsi="sans-serif" w:eastAsia="楷体_GB2312" w:cs="楷体_GB2312"/>
          <w:i w:val="0"/>
          <w:caps w:val="0"/>
          <w:color w:val="000000"/>
          <w:spacing w:val="0"/>
          <w:sz w:val="24"/>
          <w:szCs w:val="24"/>
        </w:rPr>
        <w:t>示例：</w:t>
      </w:r>
    </w:p>
    <w:p>
      <w:pPr>
        <w:pStyle w:val="2"/>
        <w:keepNext w:val="0"/>
        <w:keepLines w:val="0"/>
        <w:widowControl/>
        <w:suppressLineNumbers w:val="0"/>
        <w:spacing w:line="480" w:lineRule="atLeast"/>
        <w:ind w:left="0" w:firstLine="576"/>
        <w:jc w:val="center"/>
        <w:rPr>
          <w:rFonts w:hint="default" w:ascii="sans-serif" w:hAnsi="sans-serif" w:eastAsia="sans-serif" w:cs="sans-serif"/>
          <w:i w:val="0"/>
          <w:caps w:val="0"/>
          <w:color w:val="000000"/>
          <w:spacing w:val="0"/>
          <w:sz w:val="27"/>
          <w:szCs w:val="27"/>
        </w:rPr>
      </w:pPr>
      <w:r>
        <w:rPr>
          <w:rFonts w:hint="default" w:ascii="方正小标宋简体" w:hAnsi="方正小标宋简体" w:eastAsia="方正小标宋简体" w:cs="方正小标宋简体"/>
          <w:i w:val="0"/>
          <w:caps w:val="0"/>
          <w:color w:val="000000"/>
          <w:spacing w:val="0"/>
          <w:sz w:val="28"/>
          <w:szCs w:val="28"/>
        </w:rPr>
        <w:t>江苏省苏州昆山市孙某某为其母冒名就医</w:t>
      </w:r>
    </w:p>
    <w:p>
      <w:pPr>
        <w:pStyle w:val="2"/>
        <w:keepNext w:val="0"/>
        <w:keepLines w:val="0"/>
        <w:widowControl/>
        <w:suppressLineNumbers w:val="0"/>
        <w:spacing w:line="480" w:lineRule="atLeast"/>
        <w:ind w:left="0" w:firstLine="576"/>
        <w:jc w:val="center"/>
        <w:rPr>
          <w:rFonts w:hint="default" w:ascii="sans-serif" w:hAnsi="sans-serif" w:eastAsia="sans-serif" w:cs="sans-serif"/>
          <w:i w:val="0"/>
          <w:caps w:val="0"/>
          <w:color w:val="000000"/>
          <w:spacing w:val="0"/>
          <w:sz w:val="27"/>
          <w:szCs w:val="27"/>
        </w:rPr>
      </w:pPr>
      <w:r>
        <w:rPr>
          <w:rFonts w:hint="default" w:ascii="方正小标宋简体" w:hAnsi="方正小标宋简体" w:eastAsia="方正小标宋简体" w:cs="方正小标宋简体"/>
          <w:i w:val="0"/>
          <w:caps w:val="0"/>
          <w:color w:val="000000"/>
          <w:spacing w:val="0"/>
          <w:sz w:val="28"/>
          <w:szCs w:val="28"/>
        </w:rPr>
        <w:t>骗取医保基金案</w:t>
      </w:r>
    </w:p>
    <w:p>
      <w:pPr>
        <w:pStyle w:val="2"/>
        <w:keepNext w:val="0"/>
        <w:keepLines w:val="0"/>
        <w:widowControl/>
        <w:suppressLineNumbers w:val="0"/>
        <w:spacing w:line="456" w:lineRule="atLeast"/>
        <w:ind w:left="0" w:firstLine="504"/>
        <w:jc w:val="center"/>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sz w:val="25"/>
          <w:szCs w:val="25"/>
        </w:rPr>
        <w:t> </w:t>
      </w:r>
    </w:p>
    <w:p>
      <w:pPr>
        <w:pStyle w:val="2"/>
        <w:keepNext w:val="0"/>
        <w:keepLines w:val="0"/>
        <w:widowControl/>
        <w:suppressLineNumbers w:val="0"/>
        <w:spacing w:line="456" w:lineRule="atLeast"/>
        <w:ind w:left="0" w:firstLine="504"/>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sz w:val="25"/>
          <w:szCs w:val="25"/>
        </w:rPr>
        <w:t>孙某某，男，46岁，就职于昆山市中医医院；其母亲张某某，外地城乡居民医疗保险参保。</w:t>
      </w:r>
    </w:p>
    <w:p>
      <w:pPr>
        <w:pStyle w:val="2"/>
        <w:keepNext w:val="0"/>
        <w:keepLines w:val="0"/>
        <w:widowControl/>
        <w:suppressLineNumbers w:val="0"/>
        <w:spacing w:line="456" w:lineRule="atLeast"/>
        <w:ind w:left="0" w:firstLine="504"/>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sz w:val="25"/>
          <w:szCs w:val="25"/>
        </w:rPr>
        <w:t>经昆山市社会保险管理信息系统查询：浦某某，女，57岁，已退休，于2018年6月15日至2018年6月24日在昆山市中医医院骨科发生医疗费用39049. 36元，统筹基金支付 25397. 08元，经治医生为孙某某。知情人向国家医疗保障局基金监管司、江苏省打击欺诈骗取医保障基金专项行动“回头看”领导小组办公室举报浦某某该期间并未在昆山市中医医院住院。昆山市社保中心成立专案组，对孙某某进行询问调查，其本人承认因其母亲（外地参保）住院手术，借用好友张某某岳母浦某某的社保卡结算了自己母亲的住院医疗费用。昆山市社保中心对参保人浦某某进行询问，其本人承认2018年6月15日至2018年6月24日期间并未在昆山市中医医院住过院，其社保卡平常由女儿、女婿代为保管，女婿张某某曾和她本人说起过朋友要借用她的社保卡，当时就默许了；询问昆山市中医医院骨科科主任徐某某与护士长罗某某，两人均称事前并不认识孙某某母亲以及出于对同事的信任，没有想到孙某某借用别人的社保卡，疏于对病人身份讲行核对。通过行政处罚案件集体讨论确定，2018年6月，昆山市中医医院医师孙某某借用他人社保卡为其母亲结算住院手术费用，骗取医保基金25397. 08元。</w:t>
      </w:r>
    </w:p>
    <w:p>
      <w:pPr>
        <w:pStyle w:val="2"/>
        <w:keepNext w:val="0"/>
        <w:keepLines w:val="0"/>
        <w:widowControl/>
        <w:suppressLineNumbers w:val="0"/>
        <w:spacing w:line="456" w:lineRule="atLeast"/>
        <w:ind w:left="0" w:firstLine="504"/>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sz w:val="25"/>
          <w:szCs w:val="25"/>
        </w:rPr>
        <w:t>昆山市社保中心依据《昆山市基本医疗保险定点医药机构检查考核办法》 第六条、第八条，《昆山市基本医疗保险定点医疗机构医疗服务协议》第五十七条，《昆山市定点医疗机构医师医保处方权管理办法（试行）》第十条、第十一条，《昆山市参保人员违反社会医疗保险规定处理办法（试行）》第四条、第五条规定，追回医保基金25397. 08元，对该院分管领导及医保办主任进行约谈，取消孙某某医保处方资格，将科主任徐某某移交卫健部门处理，将出借社保卡人员纳入医保黑名单，并将孙某某等4人移送公安机关进一步核查。</w:t>
      </w:r>
    </w:p>
    <w:p>
      <w:pPr>
        <w:pStyle w:val="2"/>
        <w:keepNext w:val="0"/>
        <w:keepLines w:val="0"/>
        <w:widowControl/>
        <w:suppressLineNumbers w:val="0"/>
        <w:spacing w:line="456" w:lineRule="atLeast"/>
        <w:ind w:left="0" w:firstLine="504"/>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sz w:val="25"/>
          <w:szCs w:val="25"/>
        </w:rPr>
        <w:t>目前，孙某某等4人对此案处理未提出异议。</w:t>
      </w:r>
    </w:p>
    <w:p>
      <w:pPr>
        <w:pStyle w:val="2"/>
        <w:keepNext w:val="0"/>
        <w:keepLines w:val="0"/>
        <w:widowControl/>
        <w:suppressLineNumbers w:val="0"/>
        <w:spacing w:line="456" w:lineRule="atLeast"/>
        <w:ind w:left="0" w:firstLine="504"/>
        <w:rPr>
          <w:rFonts w:hint="default" w:ascii="sans-serif" w:hAnsi="sans-serif" w:eastAsia="sans-serif" w:cs="sans-serif"/>
          <w:i w:val="0"/>
          <w:caps w:val="0"/>
          <w:color w:val="000000"/>
          <w:spacing w:val="0"/>
          <w:sz w:val="27"/>
          <w:szCs w:val="27"/>
        </w:rPr>
      </w:pPr>
      <w:r>
        <w:rPr>
          <w:rFonts w:hint="default" w:ascii="仿宋_GB2312" w:hAnsi="sans-serif" w:eastAsia="仿宋_GB2312" w:cs="仿宋_GB2312"/>
          <w:i w:val="0"/>
          <w:caps w:val="0"/>
          <w:color w:val="000000"/>
          <w:spacing w:val="0"/>
          <w:sz w:val="25"/>
          <w:szCs w:val="25"/>
        </w:rPr>
        <w:t> </w:t>
      </w:r>
    </w:p>
    <w:p>
      <w:pPr>
        <w:pStyle w:val="2"/>
        <w:keepNext w:val="0"/>
        <w:keepLines w:val="0"/>
        <w:widowControl/>
        <w:suppressLineNumbers w:val="0"/>
        <w:spacing w:line="315" w:lineRule="atLeast"/>
        <w:ind w:left="0" w:firstLine="504"/>
        <w:rPr>
          <w:rFonts w:hint="default" w:ascii="sans-serif" w:hAnsi="sans-serif" w:eastAsia="sans-serif" w:cs="sans-serif"/>
          <w:i w:val="0"/>
          <w:caps w:val="0"/>
          <w:color w:val="000000"/>
          <w:spacing w:val="0"/>
          <w:sz w:val="27"/>
          <w:szCs w:val="27"/>
        </w:rPr>
      </w:pPr>
      <w:r>
        <w:rPr>
          <w:rFonts w:ascii="仿宋" w:hAnsi="仿宋" w:eastAsia="仿宋" w:cs="仿宋"/>
          <w:i w:val="0"/>
          <w:caps w:val="0"/>
          <w:color w:val="000000"/>
          <w:spacing w:val="0"/>
          <w:sz w:val="25"/>
          <w:szCs w:val="25"/>
        </w:rPr>
        <w:t> </w:t>
      </w:r>
    </w:p>
    <w:p>
      <w:pPr>
        <w:pStyle w:val="2"/>
        <w:keepNext w:val="0"/>
        <w:keepLines w:val="0"/>
        <w:widowControl/>
        <w:suppressLineNumbers w:val="0"/>
        <w:spacing w:line="315" w:lineRule="atLeast"/>
        <w:ind w:left="0" w:firstLine="504"/>
        <w:rPr>
          <w:rFonts w:hint="default" w:ascii="sans-serif" w:hAnsi="sans-serif" w:eastAsia="sans-serif" w:cs="sans-serif"/>
          <w:i w:val="0"/>
          <w:caps w:val="0"/>
          <w:color w:val="000000"/>
          <w:spacing w:val="0"/>
          <w:sz w:val="27"/>
          <w:szCs w:val="27"/>
        </w:rPr>
      </w:pPr>
      <w:r>
        <w:rPr>
          <w:rFonts w:hint="eastAsia" w:ascii="仿宋" w:hAnsi="仿宋" w:eastAsia="仿宋" w:cs="仿宋"/>
          <w:i w:val="0"/>
          <w:caps w:val="0"/>
          <w:color w:val="000000"/>
          <w:spacing w:val="0"/>
          <w:sz w:val="25"/>
          <w:szCs w:val="25"/>
        </w:rPr>
        <w:t> </w:t>
      </w:r>
    </w:p>
    <w:p>
      <w:pPr>
        <w:pStyle w:val="2"/>
        <w:keepNext w:val="0"/>
        <w:keepLines w:val="0"/>
        <w:widowControl/>
        <w:suppressLineNumbers w:val="0"/>
        <w:spacing w:line="315" w:lineRule="atLeast"/>
        <w:ind w:left="0" w:firstLine="504"/>
        <w:rPr>
          <w:rFonts w:hint="default" w:ascii="sans-serif" w:hAnsi="sans-serif" w:eastAsia="sans-serif" w:cs="sans-serif"/>
          <w:i w:val="0"/>
          <w:caps w:val="0"/>
          <w:color w:val="000000"/>
          <w:spacing w:val="0"/>
          <w:sz w:val="27"/>
          <w:szCs w:val="27"/>
        </w:rPr>
      </w:pPr>
      <w:r>
        <w:rPr>
          <w:rFonts w:hint="eastAsia" w:ascii="仿宋" w:hAnsi="仿宋" w:eastAsia="仿宋" w:cs="仿宋"/>
          <w:i w:val="0"/>
          <w:caps w:val="0"/>
          <w:color w:val="000000"/>
          <w:spacing w:val="0"/>
          <w:sz w:val="25"/>
          <w:szCs w:val="25"/>
        </w:rPr>
        <w:t> </w:t>
      </w:r>
    </w:p>
    <w:p>
      <w:pPr>
        <w:pStyle w:val="2"/>
        <w:keepNext w:val="0"/>
        <w:keepLines w:val="0"/>
        <w:widowControl/>
        <w:suppressLineNumbers w:val="0"/>
        <w:spacing w:line="315" w:lineRule="atLeast"/>
        <w:ind w:left="0" w:firstLine="504"/>
        <w:rPr>
          <w:rFonts w:hint="default" w:ascii="sans-serif" w:hAnsi="sans-serif" w:eastAsia="sans-serif" w:cs="sans-serif"/>
          <w:i w:val="0"/>
          <w:caps w:val="0"/>
          <w:color w:val="000000"/>
          <w:spacing w:val="0"/>
          <w:sz w:val="27"/>
          <w:szCs w:val="27"/>
        </w:rPr>
      </w:pPr>
      <w:r>
        <w:rPr>
          <w:rFonts w:hint="eastAsia" w:ascii="仿宋" w:hAnsi="仿宋" w:eastAsia="仿宋" w:cs="仿宋"/>
          <w:i w:val="0"/>
          <w:caps w:val="0"/>
          <w:color w:val="000000"/>
          <w:spacing w:val="0"/>
          <w:sz w:val="25"/>
          <w:szCs w:val="25"/>
        </w:rPr>
        <w:t> </w:t>
      </w:r>
    </w:p>
    <w:p>
      <w:pPr>
        <w:pStyle w:val="2"/>
        <w:keepNext w:val="0"/>
        <w:keepLines w:val="0"/>
        <w:widowControl/>
        <w:suppressLineNumbers w:val="0"/>
        <w:spacing w:line="315" w:lineRule="atLeast"/>
        <w:ind w:left="0" w:firstLine="504"/>
        <w:rPr>
          <w:rFonts w:hint="default" w:ascii="sans-serif" w:hAnsi="sans-serif" w:eastAsia="sans-serif" w:cs="sans-serif"/>
          <w:i w:val="0"/>
          <w:caps w:val="0"/>
          <w:color w:val="000000"/>
          <w:spacing w:val="0"/>
          <w:sz w:val="27"/>
          <w:szCs w:val="27"/>
        </w:rPr>
      </w:pPr>
      <w:r>
        <w:rPr>
          <w:rFonts w:hint="eastAsia" w:ascii="仿宋" w:hAnsi="仿宋" w:eastAsia="仿宋" w:cs="仿宋"/>
          <w:i w:val="0"/>
          <w:caps w:val="0"/>
          <w:color w:val="000000"/>
          <w:spacing w:val="0"/>
          <w:sz w:val="25"/>
          <w:szCs w:val="25"/>
        </w:rPr>
        <w:t> </w:t>
      </w:r>
    </w:p>
    <w:p>
      <w:pPr>
        <w:pStyle w:val="2"/>
        <w:keepNext w:val="0"/>
        <w:keepLines w:val="0"/>
        <w:widowControl/>
        <w:suppressLineNumbers w:val="0"/>
        <w:spacing w:line="315" w:lineRule="atLeast"/>
        <w:ind w:left="0" w:firstLine="504"/>
        <w:rPr>
          <w:rFonts w:hint="default" w:ascii="sans-serif" w:hAnsi="sans-serif" w:eastAsia="sans-serif" w:cs="sans-serif"/>
          <w:i w:val="0"/>
          <w:caps w:val="0"/>
          <w:color w:val="000000"/>
          <w:spacing w:val="0"/>
          <w:sz w:val="27"/>
          <w:szCs w:val="27"/>
        </w:rPr>
      </w:pPr>
      <w:r>
        <w:rPr>
          <w:rFonts w:hint="eastAsia" w:ascii="仿宋" w:hAnsi="仿宋" w:eastAsia="仿宋" w:cs="仿宋"/>
          <w:i w:val="0"/>
          <w:caps w:val="0"/>
          <w:color w:val="000000"/>
          <w:spacing w:val="0"/>
          <w:sz w:val="25"/>
          <w:szCs w:val="25"/>
        </w:rPr>
        <w:t> </w:t>
      </w:r>
    </w:p>
    <w:p>
      <w:pPr>
        <w:pStyle w:val="2"/>
        <w:keepNext w:val="0"/>
        <w:keepLines w:val="0"/>
        <w:widowControl/>
        <w:suppressLineNumbers w:val="0"/>
        <w:spacing w:line="315" w:lineRule="atLeast"/>
        <w:ind w:left="0" w:firstLine="504"/>
        <w:rPr>
          <w:rFonts w:hint="default" w:ascii="sans-serif" w:hAnsi="sans-serif" w:eastAsia="sans-serif" w:cs="sans-serif"/>
          <w:i w:val="0"/>
          <w:caps w:val="0"/>
          <w:color w:val="000000"/>
          <w:spacing w:val="0"/>
          <w:sz w:val="27"/>
          <w:szCs w:val="27"/>
        </w:rPr>
      </w:pPr>
      <w:r>
        <w:rPr>
          <w:rFonts w:hint="eastAsia" w:ascii="仿宋" w:hAnsi="仿宋" w:eastAsia="仿宋" w:cs="仿宋"/>
          <w:i w:val="0"/>
          <w:caps w:val="0"/>
          <w:color w:val="000000"/>
          <w:spacing w:val="0"/>
          <w:sz w:val="25"/>
          <w:szCs w:val="25"/>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黑体"/>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E40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2022-01-18T01:55:55Z</dcterms:created>
  <dc:creator>123456</dc:creator>
  <cp:lastModifiedBy>123456</cp:lastModifiedBy>
  <dcterms:modified xsi:type="dcterms:W3CDTF">2022-01-18T01:56:11Z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